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9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8505" w:type="dxa"/>
            <w:gridSpan w:val="9"/>
            <w:shd w:val="clear" w:color="FFFFFF" w:fill="auto"/>
          </w:tcPr>
          <w:p w:rsidR="00F40991" w:rsidRDefault="00D55447">
            <w:pPr>
              <w:jc w:val="center"/>
            </w:pPr>
            <w:r>
              <w:rPr>
                <w:b/>
                <w:szCs w:val="16"/>
              </w:rPr>
              <w:t>ДОГОВОР №</w:t>
            </w:r>
            <w:r w:rsidR="00DF3627">
              <w:rPr>
                <w:b/>
                <w:szCs w:val="16"/>
              </w:rPr>
              <w:br/>
              <w:t>НА ОКАЗАНИЕ ПЛАТНЫХ МЕДИЦИНСКИХ УСЛУГ</w:t>
            </w:r>
            <w:r w:rsidR="00DF3627">
              <w:rPr>
                <w:b/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F40991" w:rsidRDefault="00F40991">
            <w:pPr>
              <w:jc w:val="center"/>
            </w:pP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Общество с ограниченной ответственностью Санаторий «Заполярье», именуемое в д</w:t>
            </w:r>
            <w:r w:rsidR="00D55447">
              <w:rPr>
                <w:szCs w:val="16"/>
              </w:rPr>
              <w:t xml:space="preserve">альнейшем Исполнитель, в </w:t>
            </w:r>
            <w:proofErr w:type="gramStart"/>
            <w:r w:rsidR="00D55447">
              <w:rPr>
                <w:szCs w:val="16"/>
              </w:rPr>
              <w:t xml:space="preserve">лице  </w:t>
            </w:r>
            <w:r>
              <w:rPr>
                <w:szCs w:val="16"/>
              </w:rPr>
              <w:t>,</w:t>
            </w:r>
            <w:proofErr w:type="gram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действую</w:t>
            </w:r>
            <w:r w:rsidR="00D55447">
              <w:rPr>
                <w:szCs w:val="16"/>
              </w:rPr>
              <w:t xml:space="preserve">щего на основании доверенности </w:t>
            </w:r>
            <w:r>
              <w:rPr>
                <w:szCs w:val="16"/>
              </w:rPr>
              <w:t xml:space="preserve"> с одной стороны, и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szCs w:val="16"/>
              </w:rPr>
              <w:t>именуемый в дальнейшем «Заказчик», с другой стороны, заключили настоящий договор (далее-Договор) о нижеследующем: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1. ПРЕДМЕТ ДОГОВОРА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1.1.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На условиях </w:t>
            </w:r>
            <w:r>
              <w:rPr>
                <w:szCs w:val="16"/>
              </w:rPr>
              <w:t>настоящего Договора Исполнитель обязуется оказать Заказчику на возмездной основе медицинские услуги согласно Приложениям, а Заказчик обязуется принять и оплатить их в порядке и сроки, установленные в Договоре.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1.2.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Исполнитель зарегистрирован Инспекцией М</w:t>
            </w:r>
            <w:r>
              <w:rPr>
                <w:szCs w:val="16"/>
              </w:rPr>
              <w:t xml:space="preserve">НС РФ по г. Сочи 28.12.2004 г. и оказывает медицинские услуги в </w:t>
            </w:r>
            <w:proofErr w:type="spellStart"/>
            <w:r>
              <w:rPr>
                <w:szCs w:val="16"/>
              </w:rPr>
              <w:t>г.Сочи</w:t>
            </w:r>
            <w:proofErr w:type="spellEnd"/>
            <w:r>
              <w:rPr>
                <w:szCs w:val="16"/>
              </w:rPr>
              <w:t xml:space="preserve"> по ул.Пирогова,10.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1.3.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Объем оказываемых по настоящему Договору услуг определяется желанием Заказчика и организационно-техническими возможностями Исполнителя.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1.4.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szCs w:val="16"/>
              </w:rPr>
              <w:t>При заключении нас</w:t>
            </w:r>
            <w:r>
              <w:rPr>
                <w:szCs w:val="16"/>
              </w:rPr>
              <w:t>тоящего Договора Заказчик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</w:t>
            </w:r>
            <w:r>
              <w:rPr>
                <w:szCs w:val="16"/>
              </w:rPr>
              <w:t>анам медицинской помощи.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1.5.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szCs w:val="16"/>
              </w:rPr>
              <w:t>Заказчик уведомлен, что несоблюдение указаний (рекомендаций) оказывающего платную услугу медицинского работника Исполнителя, в том числе назначенного режима лечения, могут снизить качество предоставляемой платной услуги, повл</w:t>
            </w:r>
            <w:r>
              <w:rPr>
                <w:szCs w:val="16"/>
              </w:rPr>
              <w:t>ечь за собой невозможность ее завершения в срок и отрицательно сказаться на его состоянии здоровья.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2. СТОИМОСТЬ И ПОРЯДОК ОПЛАТЫ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2.1.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Перечень оказываемых Заказчику услуг и их стоимость согласно действующему на момент заключения Договора </w:t>
            </w:r>
            <w:r>
              <w:rPr>
                <w:szCs w:val="16"/>
              </w:rPr>
              <w:t>прейскуранту указана в Приложениях к Договору.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2.2.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Оплата Заказчиком производится наличным платежом в кассу или по безналичному расчету на счет Исполнителя до предоставления медицинской услуги (предоплата) непосредственно после заключения настоящего Дого</w:t>
            </w:r>
            <w:r>
              <w:rPr>
                <w:szCs w:val="16"/>
              </w:rPr>
              <w:t>вора.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2.3.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При возникновении необходимости оказания дополнительных платных медицинских услуг, непредусмотренных настоящим Договором, они выполняются с письменного согласия Заказчика с оплатой согласно действующему прейскуранту и оформляются подписанием но</w:t>
            </w:r>
            <w:r>
              <w:rPr>
                <w:szCs w:val="16"/>
              </w:rPr>
              <w:t>вого Приложения к настоящему Договору.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F40991">
            <w:pPr>
              <w:jc w:val="both"/>
            </w:pP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3. ПРАВА И ОБЯЗАННОСТИ СТОРОН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3.1.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Исполнитель обязан: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- оказать Заказчику качественную медицинскую услугу в срок, установленный в Приложениях к настоящему Договору;</w:t>
            </w:r>
            <w:r>
              <w:rPr>
                <w:szCs w:val="16"/>
              </w:rPr>
              <w:br/>
              <w:t>- соблюдать врачебную тайну, в том числе ко</w:t>
            </w:r>
            <w:r>
              <w:rPr>
                <w:szCs w:val="16"/>
              </w:rPr>
              <w:t>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Федерации;</w:t>
            </w:r>
            <w:r>
              <w:rPr>
                <w:szCs w:val="16"/>
              </w:rPr>
              <w:br/>
              <w:t>- заблаговременно предоставить Заказчику доступную для его понимания достоверную информац</w:t>
            </w:r>
            <w:r>
              <w:rPr>
                <w:szCs w:val="16"/>
              </w:rPr>
              <w:t>ию о предоставляемой услуге;</w:t>
            </w:r>
            <w:r>
              <w:rPr>
                <w:szCs w:val="16"/>
              </w:rPr>
              <w:br/>
              <w:t>-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услуг;</w:t>
            </w:r>
            <w:r>
              <w:rPr>
                <w:szCs w:val="16"/>
              </w:rPr>
              <w:br/>
              <w:t>- выдать Заказчику кассовый чек, подтверждающий прием денежных средств;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- по требованию Заказчика выдать ему копии медицинских документов, подтверждающих состояния его здоровья после получения платных медицинских услуг.</w:t>
            </w:r>
            <w:r>
              <w:rPr>
                <w:szCs w:val="16"/>
              </w:rPr>
              <w:br/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3.2.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Исполнитель имеет право: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3.2.1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szCs w:val="16"/>
              </w:rPr>
              <w:t xml:space="preserve">В случае возникновения неотложных ситуаций, действуя в условиях </w:t>
            </w:r>
            <w:r>
              <w:rPr>
                <w:szCs w:val="16"/>
              </w:rPr>
              <w:t>крайней необходимости, самостоятельно определять объем исследований и манипуляций, необходимых для установления диагноза, обследования и оказания медицинской помощи, в том числе и непредусмотренной договором, привлекать других специалистов, не являющихся р</w:t>
            </w:r>
            <w:r>
              <w:rPr>
                <w:szCs w:val="16"/>
              </w:rPr>
              <w:t>аботниками Исполнителя;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3.2.2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szCs w:val="16"/>
              </w:rPr>
              <w:t xml:space="preserve">Отказать в оказании платных медицинских </w:t>
            </w:r>
            <w:proofErr w:type="gramStart"/>
            <w:r>
              <w:rPr>
                <w:szCs w:val="16"/>
              </w:rPr>
              <w:t>услуг:</w:t>
            </w:r>
            <w:r>
              <w:rPr>
                <w:szCs w:val="16"/>
              </w:rPr>
              <w:br/>
              <w:t>-</w:t>
            </w:r>
            <w:proofErr w:type="gramEnd"/>
            <w:r>
              <w:rPr>
                <w:szCs w:val="16"/>
              </w:rPr>
              <w:t xml:space="preserve">  при выявлении противопоказаний у Заказчика;</w:t>
            </w:r>
            <w:r>
              <w:rPr>
                <w:szCs w:val="16"/>
              </w:rPr>
              <w:br/>
              <w:t>- в случае нарушения им условий п. 3.3 настоящего Договора;</w:t>
            </w:r>
            <w:r>
              <w:rPr>
                <w:szCs w:val="16"/>
              </w:rPr>
              <w:br/>
              <w:t>-  в случае нахождения Заказчика в состоянии алкогольного или наркотиче</w:t>
            </w:r>
            <w:r>
              <w:rPr>
                <w:szCs w:val="16"/>
              </w:rPr>
              <w:t>ского опьянения;</w:t>
            </w:r>
            <w:r>
              <w:rPr>
                <w:szCs w:val="16"/>
              </w:rPr>
              <w:br/>
              <w:t xml:space="preserve">- нарушения Заказчиком Правил пребывания на территории Санатория, пропускного и </w:t>
            </w:r>
            <w:proofErr w:type="spellStart"/>
            <w:r>
              <w:rPr>
                <w:szCs w:val="16"/>
              </w:rPr>
              <w:t>внутриобъектового</w:t>
            </w:r>
            <w:proofErr w:type="spellEnd"/>
            <w:r>
              <w:rPr>
                <w:szCs w:val="16"/>
              </w:rPr>
              <w:t xml:space="preserve"> режимов.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3.2.3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szCs w:val="16"/>
              </w:rPr>
              <w:t>Требовать от Заказчика бережного отношения к имуществу и соблюдения им Правил пребывания на территории Санатория, пропускного</w:t>
            </w:r>
            <w:r>
              <w:rPr>
                <w:szCs w:val="16"/>
              </w:rPr>
              <w:t xml:space="preserve"> и </w:t>
            </w:r>
            <w:proofErr w:type="spellStart"/>
            <w:r>
              <w:rPr>
                <w:szCs w:val="16"/>
              </w:rPr>
              <w:t>внутриобъектового</w:t>
            </w:r>
            <w:proofErr w:type="spellEnd"/>
            <w:r>
              <w:rPr>
                <w:szCs w:val="16"/>
              </w:rPr>
              <w:t xml:space="preserve"> режимов.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3.3.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Заказчик обязан: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- своевременно оплатить стоимость услуги в соответствии с условиями настоящего Договора;</w:t>
            </w:r>
            <w:r>
              <w:rPr>
                <w:szCs w:val="16"/>
              </w:rPr>
              <w:br/>
              <w:t>- до оказания медицинской помощи информировать врача о перенесенных заболеваниях, известных ему</w:t>
            </w:r>
            <w:r>
              <w:rPr>
                <w:szCs w:val="16"/>
              </w:rPr>
              <w:br/>
              <w:t>аллергических ре</w:t>
            </w:r>
            <w:r>
              <w:rPr>
                <w:szCs w:val="16"/>
              </w:rPr>
              <w:t>акциях, противопоказаниях;</w:t>
            </w:r>
            <w:r>
              <w:rPr>
                <w:szCs w:val="16"/>
              </w:rPr>
              <w:br/>
              <w:t>- выполнять назначения врача по лечению, а также указания, предписанные на период после получения услуг, соблюдать правила и условия получения медицинской услуги, рекомендованные врачом;</w:t>
            </w:r>
            <w:r>
              <w:rPr>
                <w:szCs w:val="16"/>
              </w:rPr>
              <w:br/>
              <w:t>-  соблюдать Правила пребывания на террито</w:t>
            </w:r>
            <w:r>
              <w:rPr>
                <w:szCs w:val="16"/>
              </w:rPr>
              <w:t xml:space="preserve">рии Санатория, пропускной и </w:t>
            </w:r>
            <w:proofErr w:type="spellStart"/>
            <w:r>
              <w:rPr>
                <w:szCs w:val="16"/>
              </w:rPr>
              <w:t>внутриобъектовый</w:t>
            </w:r>
            <w:proofErr w:type="spellEnd"/>
            <w:r>
              <w:rPr>
                <w:szCs w:val="16"/>
              </w:rPr>
              <w:t xml:space="preserve"> режимы.</w:t>
            </w:r>
            <w:r>
              <w:rPr>
                <w:szCs w:val="16"/>
              </w:rPr>
              <w:br/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3.4.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Заказчик имеет право: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- на предоставление ему Исполнителем полной, доступной для понимания, своевременной информации о получаемой медицинской </w:t>
            </w:r>
            <w:proofErr w:type="gramStart"/>
            <w:r>
              <w:rPr>
                <w:szCs w:val="16"/>
              </w:rPr>
              <w:t>услуге;</w:t>
            </w:r>
            <w:r>
              <w:rPr>
                <w:szCs w:val="16"/>
              </w:rPr>
              <w:br/>
              <w:t>-</w:t>
            </w:r>
            <w:proofErr w:type="gramEnd"/>
            <w:r>
              <w:rPr>
                <w:szCs w:val="16"/>
              </w:rPr>
              <w:t xml:space="preserve"> на информированное добровольное согласие </w:t>
            </w:r>
            <w:r>
              <w:rPr>
                <w:szCs w:val="16"/>
              </w:rPr>
              <w:t>на медицинское вмешательство;</w:t>
            </w:r>
            <w:r>
              <w:rPr>
                <w:szCs w:val="16"/>
              </w:rPr>
              <w:br/>
              <w:t>- отказаться от получения услуги на любом этапе с возмещением Исполнителю фактических понесенных затрат.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4. ИНФОРМАЦИЯ О ПРЕДОСТАВЛЯЕМОЙ УСЛУГЕ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4.1.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Исполнитель действует на основании лицензии на право на </w:t>
            </w:r>
            <w:r>
              <w:rPr>
                <w:szCs w:val="16"/>
              </w:rPr>
              <w:t>осуществление медицинской деятельности, выданной Министерством здравоохранения Краснодарского края: ЛО23-01 № 23-01-005130 от 07.11.2012. При подписания настоящего Договора Заказчик ознакомлен с перечнем медицинских услуг, перечисленных в указанной лицензи</w:t>
            </w:r>
            <w:r>
              <w:rPr>
                <w:szCs w:val="16"/>
              </w:rPr>
              <w:t>и.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4.2.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Началом предоставления медицинской услуги считается первичный осмотр врачом санатория. Окончанием оказания медицинской услуги считается получение Заказчиком последней из всех назначенных врачом процедур либо отмена врачом всех ранее назначенных пр</w:t>
            </w:r>
            <w:r>
              <w:rPr>
                <w:szCs w:val="16"/>
              </w:rPr>
              <w:t>оцедур по основаниям, указанным в п.п.1.5 и 3.2.1. настоящего Договора.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lastRenderedPageBreak/>
              <w:t>4.3.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Лечение производят медицинские   работники медицинского центра ООО «Санаторий «Заполярье», имеющие соответствующие сертификаты специалистов.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4.4.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Заказчик дает согласие на </w:t>
            </w:r>
            <w:r>
              <w:rPr>
                <w:szCs w:val="16"/>
              </w:rPr>
              <w:t>медицинское вмешательство врачу при первичном осмотре.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4.5.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Заказчик разрешает передавать информацию о состоянии своего здоровья, результатах обследования и лечения лицам, которых указывает врачу при первичном осмотре, а также дает согласие на распростран</w:t>
            </w:r>
            <w:r>
              <w:rPr>
                <w:szCs w:val="16"/>
              </w:rPr>
              <w:t>ение подлежащих обработке персональных данных.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4.6.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Заказчик дает согласие на получение информации о своем здоровье лично, а в случае отказа - на передачу этой информации лицам, которых он указывал врачу при первичном осмотре.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4.7.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Исполнителем листок не</w:t>
            </w:r>
            <w:r>
              <w:rPr>
                <w:szCs w:val="16"/>
              </w:rPr>
              <w:t>трудоспособности не выдается.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4.8.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Заказчик информирован: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- о возможных осложнениях здоровья при оказании медицинской услуги. В случае возникновения осложнений Исполнитель предпринимает действия, направленные на устранение их </w:t>
            </w:r>
            <w:proofErr w:type="gramStart"/>
            <w:r>
              <w:rPr>
                <w:szCs w:val="16"/>
              </w:rPr>
              <w:t>последствий;</w:t>
            </w:r>
            <w:r>
              <w:rPr>
                <w:szCs w:val="16"/>
              </w:rPr>
              <w:br/>
              <w:t>-</w:t>
            </w:r>
            <w:proofErr w:type="gramEnd"/>
            <w:r>
              <w:rPr>
                <w:szCs w:val="16"/>
              </w:rPr>
              <w:t xml:space="preserve"> о несовершен</w:t>
            </w:r>
            <w:r>
              <w:rPr>
                <w:szCs w:val="16"/>
              </w:rPr>
              <w:t>стве медицинской науки и практики и невозможности в связи с этим гарантировать ожидаемые результаты лечения.</w:t>
            </w:r>
            <w:r>
              <w:rPr>
                <w:szCs w:val="16"/>
              </w:rPr>
              <w:br/>
              <w:t>- о том, что оплаченные денежные средства по настоящему Договору не подлежат возмещению за счет средств обязательного медицинского страхования.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4.9.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Заказчик разрешает Исполнителю получать всю информацию о состоянии своего здоровья из других лечебных учреждений в целях повышения качества предоставляемой услуги.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F40991">
            <w:pPr>
              <w:jc w:val="both"/>
            </w:pP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5. ОТВЕТСТВЕННОСТЬ СТОРОН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5.1.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В случае ненадлежащего оказания услуги Заказчик вп</w:t>
            </w:r>
            <w:r>
              <w:rPr>
                <w:szCs w:val="16"/>
              </w:rPr>
              <w:t>раве по своему выбору потребовать: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- безвозмездного устранения недостатков </w:t>
            </w:r>
            <w:proofErr w:type="gramStart"/>
            <w:r>
              <w:rPr>
                <w:szCs w:val="16"/>
              </w:rPr>
              <w:t>услуги;</w:t>
            </w:r>
            <w:r>
              <w:rPr>
                <w:szCs w:val="16"/>
              </w:rPr>
              <w:br/>
              <w:t>-</w:t>
            </w:r>
            <w:proofErr w:type="gramEnd"/>
            <w:r>
              <w:rPr>
                <w:szCs w:val="16"/>
              </w:rPr>
              <w:t xml:space="preserve"> соответствующего уменьшения стоимости услуги;</w:t>
            </w:r>
            <w:r>
              <w:rPr>
                <w:szCs w:val="16"/>
              </w:rPr>
              <w:br/>
              <w:t>- возмещения понесенных им расходов по устранению недостатков оказанной услуги в других медицинских учреждениях.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5.2.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Испо</w:t>
            </w:r>
            <w:r>
              <w:rPr>
                <w:szCs w:val="16"/>
              </w:rPr>
              <w:t>лнитель освобождается от ответственности: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-за неисполнение или ненадлежащее исполнение настоящего Договора, причиной которого стало нарушение Заказчиком условий настоящего Договора;</w:t>
            </w:r>
            <w:r>
              <w:rPr>
                <w:szCs w:val="16"/>
              </w:rPr>
              <w:br/>
              <w:t xml:space="preserve">- в случаях осложнений и побочных эффектов, связанных с биологическими </w:t>
            </w:r>
            <w:r>
              <w:rPr>
                <w:szCs w:val="16"/>
              </w:rPr>
              <w:t>особенностями организма Заказчика;</w:t>
            </w:r>
            <w:r>
              <w:rPr>
                <w:szCs w:val="16"/>
              </w:rPr>
              <w:br/>
              <w:t>- за неудовлетворительный исход или осложнения, в случае если Заказчик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</w:t>
            </w:r>
            <w:r>
              <w:rPr>
                <w:szCs w:val="16"/>
              </w:rPr>
              <w:t>смотренным действующим законодательством Российской Федерации;</w:t>
            </w:r>
            <w:r>
              <w:rPr>
                <w:szCs w:val="16"/>
              </w:rPr>
              <w:br/>
              <w:t>- в случаях осложнений и побочных эффектов, возникших по вине Заказчика.</w:t>
            </w:r>
            <w:r>
              <w:rPr>
                <w:szCs w:val="16"/>
              </w:rPr>
              <w:br/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6. СРОК ДЕЙСТВИЯ ДОГОВОРА, ПОРЯДОК ЕГО РАСТОРЖЕНИЯ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6.1.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Договор вступает в силу с момента его подписания и действ</w:t>
            </w:r>
            <w:r>
              <w:rPr>
                <w:szCs w:val="16"/>
              </w:rPr>
              <w:t>ует до наступления обстоятельств, перечисленных в его п.4.2.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6.2.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>Условия договора могут быть изменены по соглашению сторон, оформлены в виде дополнений и приложений.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6.3.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Договор может быть расторгнут по соглашению сторон, а также по другим основаниям, </w:t>
            </w:r>
            <w:r>
              <w:rPr>
                <w:szCs w:val="16"/>
              </w:rPr>
              <w:t>предусмотренным настоящим Договором и действующим законодательством.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7. ПРОЧИЕ УСЛОВИЯ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7.1.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Все споры, возникающие по настоящему Договору, будут разрешаться Сторонами путем переговоров с соблюдением претензионного порядка. При этом претензия </w:t>
            </w:r>
            <w:r>
              <w:rPr>
                <w:szCs w:val="16"/>
              </w:rPr>
              <w:t xml:space="preserve">направляется инициирующей Стороной почтой с уведомлением о вручении. </w:t>
            </w:r>
            <w:proofErr w:type="gramStart"/>
            <w:r>
              <w:rPr>
                <w:szCs w:val="16"/>
              </w:rPr>
              <w:t>Претензия  должна</w:t>
            </w:r>
            <w:proofErr w:type="gramEnd"/>
            <w:r>
              <w:rPr>
                <w:szCs w:val="16"/>
              </w:rPr>
              <w:t xml:space="preserve"> быть рассмотрена получившей ее  Стороной не позднее 20 (двадцати) рабочих дней с  момента ее  получения.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7.2.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Переуступка прав и обязанностей по настоящему договору не </w:t>
            </w:r>
            <w:r>
              <w:rPr>
                <w:szCs w:val="16"/>
              </w:rPr>
              <w:t>предусматривается.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DF3627">
            <w:pPr>
              <w:jc w:val="right"/>
            </w:pPr>
            <w:r>
              <w:rPr>
                <w:szCs w:val="16"/>
              </w:rPr>
              <w:t>7.3.</w:t>
            </w: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pPr>
              <w:jc w:val="both"/>
            </w:pPr>
            <w:r>
              <w:rPr>
                <w:szCs w:val="16"/>
              </w:rPr>
              <w:t xml:space="preserve">При </w:t>
            </w:r>
            <w:proofErr w:type="spellStart"/>
            <w:r>
              <w:rPr>
                <w:szCs w:val="16"/>
              </w:rPr>
              <w:t>недостижении</w:t>
            </w:r>
            <w:proofErr w:type="spellEnd"/>
            <w:r>
              <w:rPr>
                <w:szCs w:val="16"/>
              </w:rPr>
              <w:t xml:space="preserve"> договоренности споры разрешается Центральным районным судом </w:t>
            </w:r>
            <w:proofErr w:type="spellStart"/>
            <w:r>
              <w:rPr>
                <w:szCs w:val="16"/>
              </w:rPr>
              <w:t>г.Сочи</w:t>
            </w:r>
            <w:proofErr w:type="spellEnd"/>
            <w:r>
              <w:rPr>
                <w:szCs w:val="16"/>
              </w:rPr>
              <w:t xml:space="preserve"> в соответствии с действующим законодательством.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DF3627">
            <w:r>
              <w:rPr>
                <w:b/>
                <w:szCs w:val="16"/>
              </w:rPr>
              <w:t>8. ЮРИДИЧЕСКИЕ АДРЕСА И РЕКВИЗИТЫ СТОРОН:</w:t>
            </w: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0" w:type="dxa"/>
            <w:gridSpan w:val="10"/>
            <w:shd w:val="clear" w:color="FFFFFF" w:fill="auto"/>
          </w:tcPr>
          <w:p w:rsidR="00F40991" w:rsidRDefault="00F40991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45"/>
        <w:gridCol w:w="945"/>
        <w:gridCol w:w="945"/>
        <w:gridCol w:w="945"/>
        <w:gridCol w:w="945"/>
        <w:gridCol w:w="210"/>
      </w:tblGrid>
      <w:tr w:rsid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D55447" w:rsidRDefault="00D55447">
            <w:pPr>
              <w:jc w:val="right"/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D55447" w:rsidRDefault="00D55447">
            <w:pPr>
              <w:jc w:val="center"/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210" w:type="dxa"/>
            <w:shd w:val="clear" w:color="FFFFFF" w:fill="auto"/>
          </w:tcPr>
          <w:p w:rsidR="00D55447" w:rsidRDefault="00D55447">
            <w:pPr>
              <w:jc w:val="center"/>
            </w:pPr>
            <w:bookmarkStart w:id="0" w:name="_GoBack"/>
            <w:bookmarkEnd w:id="0"/>
          </w:p>
        </w:tc>
      </w:tr>
      <w:tr w:rsid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D55447" w:rsidRDefault="00D55447">
            <w:pPr>
              <w:jc w:val="right"/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D55447" w:rsidRDefault="00D55447">
            <w:pPr>
              <w:jc w:val="center"/>
            </w:pPr>
            <w:r>
              <w:rPr>
                <w:b/>
                <w:szCs w:val="16"/>
              </w:rPr>
              <w:t>ООО "Санаторий Заполярье"</w:t>
            </w:r>
          </w:p>
        </w:tc>
        <w:tc>
          <w:tcPr>
            <w:tcW w:w="210" w:type="dxa"/>
            <w:shd w:val="clear" w:color="FFFFFF" w:fill="auto"/>
          </w:tcPr>
          <w:p w:rsidR="00D55447" w:rsidRDefault="00D55447"/>
        </w:tc>
      </w:tr>
      <w:tr w:rsid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D55447" w:rsidRDefault="00D55447">
            <w:pPr>
              <w:jc w:val="right"/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D55447" w:rsidRDefault="00D55447">
            <w:r>
              <w:rPr>
                <w:szCs w:val="16"/>
              </w:rPr>
              <w:t>354008, Краснодарский край, Сочи г., Пирогова ул., дом № 10</w:t>
            </w:r>
            <w:r>
              <w:rPr>
                <w:szCs w:val="16"/>
              </w:rPr>
              <w:br/>
              <w:t>р/с: 40702810530060102557</w:t>
            </w:r>
            <w:r>
              <w:rPr>
                <w:szCs w:val="16"/>
              </w:rPr>
              <w:br/>
              <w:t>ЮГО-ЗАПАДНЫЙ БАНК СБЕРБАНКА РФ</w:t>
            </w:r>
            <w:r>
              <w:rPr>
                <w:szCs w:val="16"/>
              </w:rPr>
              <w:br/>
              <w:t>к/с: 30101810600000000602</w:t>
            </w:r>
            <w:r>
              <w:rPr>
                <w:szCs w:val="16"/>
              </w:rPr>
              <w:br/>
              <w:t>БИК: 046015602</w:t>
            </w:r>
            <w:r>
              <w:rPr>
                <w:szCs w:val="16"/>
              </w:rPr>
              <w:br/>
              <w:t>ИНН/КПП: 2320126214/232001001</w:t>
            </w:r>
          </w:p>
        </w:tc>
        <w:tc>
          <w:tcPr>
            <w:tcW w:w="210" w:type="dxa"/>
            <w:shd w:val="clear" w:color="FFFFFF" w:fill="auto"/>
          </w:tcPr>
          <w:p w:rsidR="00D55447" w:rsidRDefault="00D55447"/>
        </w:tc>
      </w:tr>
      <w:tr w:rsid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D55447" w:rsidRDefault="00D55447">
            <w:pPr>
              <w:jc w:val="right"/>
            </w:pPr>
          </w:p>
        </w:tc>
        <w:tc>
          <w:tcPr>
            <w:tcW w:w="945" w:type="dxa"/>
            <w:shd w:val="clear" w:color="FFFFFF" w:fill="auto"/>
          </w:tcPr>
          <w:p w:rsidR="00D55447" w:rsidRDefault="00D55447"/>
        </w:tc>
        <w:tc>
          <w:tcPr>
            <w:tcW w:w="945" w:type="dxa"/>
            <w:shd w:val="clear" w:color="FFFFFF" w:fill="auto"/>
          </w:tcPr>
          <w:p w:rsidR="00D55447" w:rsidRDefault="00D55447"/>
        </w:tc>
        <w:tc>
          <w:tcPr>
            <w:tcW w:w="945" w:type="dxa"/>
            <w:shd w:val="clear" w:color="FFFFFF" w:fill="auto"/>
          </w:tcPr>
          <w:p w:rsidR="00D55447" w:rsidRDefault="00D55447"/>
        </w:tc>
        <w:tc>
          <w:tcPr>
            <w:tcW w:w="945" w:type="dxa"/>
            <w:shd w:val="clear" w:color="FFFFFF" w:fill="auto"/>
          </w:tcPr>
          <w:p w:rsidR="00D55447" w:rsidRDefault="00D55447"/>
        </w:tc>
        <w:tc>
          <w:tcPr>
            <w:tcW w:w="945" w:type="dxa"/>
            <w:shd w:val="clear" w:color="FFFFFF" w:fill="auto"/>
          </w:tcPr>
          <w:p w:rsidR="00D55447" w:rsidRDefault="00D55447"/>
        </w:tc>
        <w:tc>
          <w:tcPr>
            <w:tcW w:w="210" w:type="dxa"/>
            <w:shd w:val="clear" w:color="FFFFFF" w:fill="auto"/>
          </w:tcPr>
          <w:p w:rsidR="00D55447" w:rsidRDefault="00D55447"/>
        </w:tc>
      </w:tr>
      <w:tr w:rsid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D55447" w:rsidRDefault="00D55447">
            <w:pPr>
              <w:jc w:val="right"/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D55447" w:rsidRDefault="00D55447">
            <w:pPr>
              <w:jc w:val="right"/>
            </w:pP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</w:tcPr>
          <w:p w:rsidR="00D55447" w:rsidRDefault="00D55447"/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</w:tcPr>
          <w:p w:rsidR="00D55447" w:rsidRDefault="00D55447">
            <w:pPr>
              <w:jc w:val="right"/>
            </w:pPr>
          </w:p>
        </w:tc>
      </w:tr>
      <w:tr w:rsid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D55447" w:rsidRDefault="00D55447">
            <w:pPr>
              <w:jc w:val="right"/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D55447" w:rsidRDefault="00D55447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835" w:type="dxa"/>
            <w:gridSpan w:val="3"/>
            <w:shd w:val="clear" w:color="FFFFFF" w:fill="auto"/>
          </w:tcPr>
          <w:p w:rsidR="00D55447" w:rsidRDefault="00D55447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</w:tcPr>
          <w:p w:rsidR="00D55447" w:rsidRDefault="00D55447">
            <w:pPr>
              <w:jc w:val="right"/>
            </w:pPr>
          </w:p>
        </w:tc>
      </w:tr>
    </w:tbl>
    <w:tbl>
      <w:tblPr>
        <w:tblStyle w:val="TableStyle6"/>
        <w:tblW w:w="99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45"/>
        <w:gridCol w:w="945"/>
        <w:gridCol w:w="945"/>
        <w:gridCol w:w="945"/>
        <w:gridCol w:w="945"/>
        <w:gridCol w:w="210"/>
        <w:gridCol w:w="945"/>
        <w:gridCol w:w="945"/>
        <w:gridCol w:w="945"/>
        <w:gridCol w:w="1680"/>
      </w:tblGrid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 w:rsidP="00D55447"/>
        </w:tc>
        <w:tc>
          <w:tcPr>
            <w:tcW w:w="4725" w:type="dxa"/>
            <w:gridSpan w:val="5"/>
            <w:shd w:val="clear" w:color="FFFFFF" w:fill="auto"/>
          </w:tcPr>
          <w:p w:rsidR="00F40991" w:rsidRDefault="00F40991">
            <w:pPr>
              <w:jc w:val="center"/>
            </w:pPr>
          </w:p>
        </w:tc>
        <w:tc>
          <w:tcPr>
            <w:tcW w:w="210" w:type="dxa"/>
            <w:shd w:val="clear" w:color="FFFFFF" w:fill="auto"/>
          </w:tcPr>
          <w:p w:rsidR="00F40991" w:rsidRDefault="00F40991">
            <w:pPr>
              <w:jc w:val="center"/>
            </w:pPr>
          </w:p>
        </w:tc>
        <w:tc>
          <w:tcPr>
            <w:tcW w:w="4515" w:type="dxa"/>
            <w:gridSpan w:val="4"/>
            <w:shd w:val="clear" w:color="FFFFFF" w:fill="auto"/>
          </w:tcPr>
          <w:p w:rsidR="00F40991" w:rsidRDefault="00F40991">
            <w:pPr>
              <w:jc w:val="center"/>
            </w:pPr>
          </w:p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F40991" w:rsidRDefault="00F40991">
            <w:pPr>
              <w:jc w:val="center"/>
            </w:pPr>
          </w:p>
        </w:tc>
        <w:tc>
          <w:tcPr>
            <w:tcW w:w="210" w:type="dxa"/>
            <w:shd w:val="clear" w:color="FFFFFF" w:fill="auto"/>
          </w:tcPr>
          <w:p w:rsidR="00F40991" w:rsidRDefault="00F40991"/>
        </w:tc>
        <w:tc>
          <w:tcPr>
            <w:tcW w:w="4515" w:type="dxa"/>
            <w:gridSpan w:val="4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F40991" w:rsidRDefault="00F40991"/>
        </w:tc>
        <w:tc>
          <w:tcPr>
            <w:tcW w:w="210" w:type="dxa"/>
            <w:shd w:val="clear" w:color="FFFFFF" w:fill="auto"/>
          </w:tcPr>
          <w:p w:rsidR="00F40991" w:rsidRDefault="00F40991"/>
        </w:tc>
        <w:tc>
          <w:tcPr>
            <w:tcW w:w="4515" w:type="dxa"/>
            <w:gridSpan w:val="4"/>
            <w:shd w:val="clear" w:color="FFFFFF" w:fill="auto"/>
          </w:tcPr>
          <w:p w:rsidR="00F40991" w:rsidRDefault="00F40991"/>
        </w:tc>
      </w:tr>
      <w:tr w:rsidR="00F40991" w:rsidTr="00D55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</w:tcPr>
          <w:p w:rsidR="00F40991" w:rsidRDefault="00F40991">
            <w:pPr>
              <w:jc w:val="right"/>
            </w:pPr>
          </w:p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210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945" w:type="dxa"/>
            <w:shd w:val="clear" w:color="FFFFFF" w:fill="auto"/>
          </w:tcPr>
          <w:p w:rsidR="00F40991" w:rsidRDefault="00F40991"/>
        </w:tc>
        <w:tc>
          <w:tcPr>
            <w:tcW w:w="1680" w:type="dxa"/>
            <w:shd w:val="clear" w:color="FFFFFF" w:fill="auto"/>
          </w:tcPr>
          <w:p w:rsidR="00F40991" w:rsidRDefault="00F40991"/>
        </w:tc>
      </w:tr>
    </w:tbl>
    <w:p w:rsidR="00DF3627" w:rsidRDefault="00DF3627"/>
    <w:sectPr w:rsidR="00DF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991"/>
    <w:rsid w:val="00D55447"/>
    <w:rsid w:val="00DF3627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51EB-7672-4134-8F82-FAA44EE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7940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Кравцова Марина Анатольевна</cp:lastModifiedBy>
  <cp:revision>2</cp:revision>
  <dcterms:created xsi:type="dcterms:W3CDTF">2019-06-13T09:07:00Z</dcterms:created>
  <dcterms:modified xsi:type="dcterms:W3CDTF">2019-06-13T09:08:00Z</dcterms:modified>
</cp:coreProperties>
</file>